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18" w:rsidRDefault="001E15AC">
      <w:pPr>
        <w:spacing w:line="54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36"/>
          <w:szCs w:val="36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年无锡市</w:t>
      </w:r>
      <w:r>
        <w:rPr>
          <w:rFonts w:ascii="Times New Roman" w:eastAsia="方正小标宋简体" w:hAnsi="Times New Roman"/>
          <w:sz w:val="44"/>
          <w:szCs w:val="44"/>
        </w:rPr>
        <w:t>公开选调海内外优秀青年人才</w:t>
      </w:r>
    </w:p>
    <w:p w:rsidR="00C01318" w:rsidRDefault="001E15AC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公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告</w:t>
      </w:r>
    </w:p>
    <w:p w:rsidR="00C01318" w:rsidRDefault="00C01318">
      <w:pPr>
        <w:spacing w:line="54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为进一步改善我市干部人才队伍结构，引进培养和储备一批有发展潜力的青年人才，经研究，决定面向海内外</w:t>
      </w:r>
      <w:r>
        <w:rPr>
          <w:rFonts w:ascii="Times New Roman" w:eastAsia="仿宋_GB2312" w:hAnsi="Times New Roman"/>
          <w:kern w:val="0"/>
          <w:sz w:val="32"/>
          <w:szCs w:val="32"/>
        </w:rPr>
        <w:t>公开选调优秀青年人才</w:t>
      </w:r>
      <w:r>
        <w:rPr>
          <w:rFonts w:ascii="Times New Roman" w:eastAsia="仿宋_GB2312" w:hAnsi="Times New Roman"/>
          <w:kern w:val="0"/>
          <w:sz w:val="32"/>
          <w:szCs w:val="32"/>
        </w:rPr>
        <w:t>。现将有关事项公告如下：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一、选调对象及数量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面向国内高校和</w:t>
      </w:r>
      <w:r>
        <w:rPr>
          <w:rFonts w:ascii="Times New Roman" w:eastAsia="仿宋_GB2312" w:hAnsi="Times New Roman" w:hint="eastAsia"/>
          <w:sz w:val="32"/>
          <w:szCs w:val="32"/>
        </w:rPr>
        <w:t>国（境）外世界</w:t>
      </w:r>
      <w:r>
        <w:rPr>
          <w:rFonts w:ascii="Times New Roman" w:eastAsia="仿宋_GB2312" w:hAnsi="Times New Roman"/>
          <w:sz w:val="32"/>
          <w:szCs w:val="32"/>
        </w:rPr>
        <w:t>名校（</w:t>
      </w:r>
      <w:r>
        <w:rPr>
          <w:rFonts w:ascii="Times New Roman" w:eastAsia="仿宋_GB2312" w:hAnsi="Times New Roman" w:hint="eastAsia"/>
          <w:sz w:val="32"/>
          <w:szCs w:val="32"/>
        </w:rPr>
        <w:t>THE</w:t>
      </w:r>
      <w:r>
        <w:rPr>
          <w:rFonts w:ascii="Times New Roman" w:eastAsia="仿宋_GB2312" w:hAnsi="Times New Roman" w:hint="eastAsia"/>
          <w:sz w:val="32"/>
          <w:szCs w:val="32"/>
        </w:rPr>
        <w:t>最新世界排名前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强高校</w:t>
      </w:r>
      <w:r>
        <w:rPr>
          <w:rFonts w:ascii="Times New Roman" w:eastAsia="仿宋_GB2312" w:hAnsi="Times New Roman"/>
          <w:sz w:val="32"/>
          <w:szCs w:val="32"/>
        </w:rPr>
        <w:t>），选调</w:t>
      </w:r>
      <w:r>
        <w:rPr>
          <w:rFonts w:ascii="Times New Roman" w:eastAsia="仿宋_GB2312" w:hAnsi="Times New Roman"/>
          <w:sz w:val="32"/>
          <w:szCs w:val="32"/>
        </w:rPr>
        <w:t>280</w:t>
      </w:r>
      <w:r>
        <w:rPr>
          <w:rFonts w:ascii="Times New Roman" w:eastAsia="仿宋_GB2312" w:hAnsi="Times New Roman"/>
          <w:sz w:val="32"/>
          <w:szCs w:val="32"/>
        </w:rPr>
        <w:t>名优秀青年人才到开发园区、乡镇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街道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和国有企事业单位工作。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二、选调条件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（一）基本条件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具有中华人民共和国国籍，</w:t>
      </w:r>
      <w:r>
        <w:rPr>
          <w:rFonts w:ascii="Times New Roman" w:eastAsia="仿宋_GB2312" w:hAnsi="Times New Roman"/>
          <w:sz w:val="32"/>
          <w:szCs w:val="32"/>
        </w:rPr>
        <w:t>政治立场坚定，爱党爱国，有理想抱负和家国情怀，甘于为国家和人民服务奉献；品学兼优，综合素质和发展潜力好，有一定的组织协调能力；志愿到基层一线工作。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大学本科生一般为</w:t>
      </w:r>
      <w:r>
        <w:rPr>
          <w:rFonts w:ascii="Times New Roman" w:eastAsia="仿宋_GB2312" w:hAnsi="Times New Roman"/>
          <w:sz w:val="32"/>
          <w:szCs w:val="32"/>
        </w:rPr>
        <w:t>1995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日及以后出生，硕士研究生一般为</w:t>
      </w:r>
      <w:r>
        <w:rPr>
          <w:rFonts w:ascii="Times New Roman" w:eastAsia="仿宋_GB2312" w:hAnsi="Times New Roman"/>
          <w:sz w:val="32"/>
          <w:szCs w:val="32"/>
        </w:rPr>
        <w:t>1992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日及以后出生，博士研究生一般为</w:t>
      </w:r>
      <w:r>
        <w:rPr>
          <w:rFonts w:ascii="Times New Roman" w:eastAsia="仿宋_GB2312" w:hAnsi="Times New Roman"/>
          <w:sz w:val="32"/>
          <w:szCs w:val="32"/>
        </w:rPr>
        <w:t>1989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日及以后出生，条件特别优秀的年龄可适当放宽。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在校就读期间（含本科阶段）担任过学生干部满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学年</w:t>
      </w:r>
      <w:r>
        <w:rPr>
          <w:rFonts w:ascii="Times New Roman" w:eastAsia="仿宋_GB2312" w:hAnsi="Times New Roman"/>
          <w:sz w:val="32"/>
          <w:szCs w:val="32"/>
        </w:rPr>
        <w:t>，并且获得过院（系）级以上奖励。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、具有国家认可的相应学历、学位证书，应届毕业生应如期毕业并取得相应学历、学位证书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具有正常履行职</w:t>
      </w:r>
      <w:r>
        <w:rPr>
          <w:rFonts w:ascii="Times New Roman" w:eastAsia="仿宋_GB2312" w:hAnsi="Times New Roman"/>
          <w:sz w:val="32"/>
          <w:szCs w:val="32"/>
        </w:rPr>
        <w:t>责的身体条件。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6</w:t>
      </w:r>
      <w:r>
        <w:rPr>
          <w:rFonts w:ascii="Times New Roman" w:eastAsia="仿宋_GB2312" w:hAnsi="Times New Roman"/>
          <w:sz w:val="32"/>
          <w:szCs w:val="32"/>
        </w:rPr>
        <w:t>、遵纪守法，未受过</w:t>
      </w:r>
      <w:r>
        <w:rPr>
          <w:rFonts w:ascii="Times New Roman" w:eastAsia="仿宋_GB2312" w:hAnsi="Times New Roman" w:hint="eastAsia"/>
          <w:sz w:val="32"/>
          <w:szCs w:val="32"/>
        </w:rPr>
        <w:t>刑事、党纪、政纪、校纪等</w:t>
      </w:r>
      <w:r>
        <w:rPr>
          <w:rFonts w:ascii="Times New Roman" w:eastAsia="仿宋_GB2312" w:hAnsi="Times New Roman"/>
          <w:sz w:val="32"/>
          <w:szCs w:val="32"/>
        </w:rPr>
        <w:t>处分。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法律法规规定的其他条件。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（二）岗位条件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、无锡市属国有企事业单位面向国内</w:t>
      </w:r>
      <w:r>
        <w:rPr>
          <w:rFonts w:ascii="Times New Roman" w:eastAsia="仿宋_GB2312" w:hAnsi="Times New Roman"/>
          <w:sz w:val="32"/>
          <w:szCs w:val="32"/>
        </w:rPr>
        <w:t>高校和</w:t>
      </w:r>
      <w:r>
        <w:rPr>
          <w:rFonts w:ascii="Times New Roman" w:eastAsia="仿宋_GB2312" w:hAnsi="Times New Roman" w:hint="eastAsia"/>
          <w:sz w:val="32"/>
          <w:szCs w:val="32"/>
        </w:rPr>
        <w:t>国（境）外世界</w:t>
      </w:r>
      <w:r>
        <w:rPr>
          <w:rFonts w:ascii="Times New Roman" w:eastAsia="仿宋_GB2312" w:hAnsi="Times New Roman"/>
          <w:sz w:val="32"/>
          <w:szCs w:val="32"/>
        </w:rPr>
        <w:t>名校</w:t>
      </w:r>
      <w:proofErr w:type="gramStart"/>
      <w:r>
        <w:rPr>
          <w:rFonts w:ascii="Times New Roman" w:eastAsia="仿宋_GB2312" w:hAnsi="Times New Roman"/>
          <w:sz w:val="32"/>
          <w:szCs w:val="32"/>
        </w:rPr>
        <w:t>硕</w:t>
      </w:r>
      <w:proofErr w:type="gramEnd"/>
      <w:r>
        <w:rPr>
          <w:rFonts w:ascii="Times New Roman" w:eastAsia="仿宋_GB2312" w:hAnsi="Times New Roman"/>
          <w:sz w:val="32"/>
          <w:szCs w:val="32"/>
        </w:rPr>
        <w:t>博士研究生。其中北京大学、中国人民大学、清华大学、哈尔滨工业大学、复旦大学、同济大学、上海交通大学、南京大学、东南大学、浙江大学、中国科学技术大学、武汉大学、华中科技大学、中山大学、四川大学、西安交通大学等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所高校和</w:t>
      </w:r>
      <w:r>
        <w:rPr>
          <w:rFonts w:ascii="Times New Roman" w:eastAsia="仿宋_GB2312" w:hAnsi="Times New Roman"/>
          <w:sz w:val="32"/>
          <w:szCs w:val="32"/>
        </w:rPr>
        <w:t>THE</w:t>
      </w:r>
      <w:r>
        <w:rPr>
          <w:rFonts w:ascii="Times New Roman" w:eastAsia="仿宋_GB2312" w:hAnsi="Times New Roman" w:hint="eastAsia"/>
          <w:sz w:val="32"/>
          <w:szCs w:val="32"/>
        </w:rPr>
        <w:t>最新世界</w:t>
      </w:r>
      <w:r>
        <w:rPr>
          <w:rFonts w:ascii="Times New Roman" w:eastAsia="仿宋_GB2312" w:hAnsi="Times New Roman"/>
          <w:sz w:val="32"/>
          <w:szCs w:val="32"/>
        </w:rPr>
        <w:t>排名前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强</w:t>
      </w:r>
      <w:r>
        <w:rPr>
          <w:rFonts w:ascii="Times New Roman" w:eastAsia="仿宋_GB2312" w:hAnsi="Times New Roman" w:hint="eastAsia"/>
          <w:sz w:val="32"/>
          <w:szCs w:val="32"/>
        </w:rPr>
        <w:t>国（境）外</w:t>
      </w:r>
      <w:r>
        <w:rPr>
          <w:rFonts w:ascii="Times New Roman" w:eastAsia="仿宋_GB2312" w:hAnsi="Times New Roman"/>
          <w:sz w:val="32"/>
          <w:szCs w:val="32"/>
        </w:rPr>
        <w:t>名校可放宽到本科生。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、市（县）区属国有企事业单位面向国内</w:t>
      </w:r>
      <w:r>
        <w:rPr>
          <w:rFonts w:ascii="Times New Roman" w:eastAsia="仿宋_GB2312" w:hAnsi="Times New Roman"/>
          <w:sz w:val="32"/>
          <w:szCs w:val="32"/>
        </w:rPr>
        <w:t>高校和</w:t>
      </w:r>
      <w:r>
        <w:rPr>
          <w:rFonts w:ascii="Times New Roman" w:eastAsia="仿宋_GB2312" w:hAnsi="Times New Roman" w:hint="eastAsia"/>
          <w:sz w:val="32"/>
          <w:szCs w:val="32"/>
        </w:rPr>
        <w:t>国（境）外世界</w:t>
      </w:r>
      <w:r>
        <w:rPr>
          <w:rFonts w:ascii="Times New Roman" w:eastAsia="仿宋_GB2312" w:hAnsi="Times New Roman"/>
          <w:sz w:val="32"/>
          <w:szCs w:val="32"/>
        </w:rPr>
        <w:t>名</w:t>
      </w:r>
      <w:proofErr w:type="gramStart"/>
      <w:r>
        <w:rPr>
          <w:rFonts w:ascii="Times New Roman" w:eastAsia="仿宋_GB2312" w:hAnsi="Times New Roman"/>
          <w:sz w:val="32"/>
          <w:szCs w:val="32"/>
        </w:rPr>
        <w:t>校</w:t>
      </w:r>
      <w:r>
        <w:rPr>
          <w:rFonts w:ascii="Times New Roman" w:eastAsia="仿宋_GB2312" w:hAnsi="Times New Roman"/>
          <w:sz w:val="32"/>
          <w:szCs w:val="32"/>
        </w:rPr>
        <w:t>本科</w:t>
      </w:r>
      <w:proofErr w:type="gramEnd"/>
      <w:r>
        <w:rPr>
          <w:rFonts w:ascii="Times New Roman" w:eastAsia="仿宋_GB2312" w:hAnsi="Times New Roman"/>
          <w:sz w:val="32"/>
          <w:szCs w:val="32"/>
        </w:rPr>
        <w:t>以上学历毕业生。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、乡镇（街道）及开发园区岗位面向国内</w:t>
      </w:r>
      <w:r>
        <w:rPr>
          <w:rFonts w:ascii="Times New Roman" w:eastAsia="仿宋_GB2312" w:hAnsi="Times New Roman"/>
          <w:sz w:val="32"/>
          <w:szCs w:val="32"/>
        </w:rPr>
        <w:t>高校、部分国内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>
        <w:rPr>
          <w:rFonts w:ascii="Times New Roman" w:eastAsia="仿宋_GB2312" w:hAnsi="Times New Roman"/>
          <w:sz w:val="32"/>
          <w:szCs w:val="32"/>
        </w:rPr>
        <w:t>高校</w:t>
      </w:r>
      <w:r>
        <w:rPr>
          <w:rFonts w:ascii="Times New Roman" w:eastAsia="仿宋_GB2312" w:hAnsi="Times New Roman" w:hint="eastAsia"/>
          <w:sz w:val="32"/>
          <w:szCs w:val="32"/>
        </w:rPr>
        <w:t>（高校名单附后）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国（境）外世界</w:t>
      </w:r>
      <w:r>
        <w:rPr>
          <w:rFonts w:ascii="Times New Roman" w:eastAsia="仿宋_GB2312" w:hAnsi="Times New Roman"/>
          <w:sz w:val="32"/>
          <w:szCs w:val="32"/>
        </w:rPr>
        <w:t>名校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本科以上学历毕业生。</w:t>
      </w:r>
    </w:p>
    <w:p w:rsidR="00C01318" w:rsidRDefault="001E15AC">
      <w:pPr>
        <w:spacing w:line="54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已在</w:t>
      </w:r>
      <w:proofErr w:type="gramStart"/>
      <w:r>
        <w:rPr>
          <w:rFonts w:ascii="Times New Roman" w:eastAsia="仿宋_GB2312" w:hAnsi="Times New Roman"/>
          <w:b/>
          <w:bCs/>
          <w:sz w:val="32"/>
          <w:szCs w:val="32"/>
        </w:rPr>
        <w:t>锡工作</w:t>
      </w:r>
      <w:proofErr w:type="gramEnd"/>
      <w:r>
        <w:rPr>
          <w:rFonts w:ascii="Times New Roman" w:eastAsia="仿宋_GB2312" w:hAnsi="Times New Roman"/>
          <w:b/>
          <w:bCs/>
          <w:sz w:val="32"/>
          <w:szCs w:val="32"/>
        </w:rPr>
        <w:t>的不在此次选调范围之内。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三、选调程序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/>
          <w:sz w:val="32"/>
          <w:szCs w:val="32"/>
        </w:rPr>
        <w:t>、报名与初审。</w:t>
      </w:r>
      <w:r>
        <w:rPr>
          <w:rFonts w:ascii="Times New Roman" w:eastAsia="仿宋_GB2312" w:hAnsi="Times New Roman"/>
          <w:sz w:val="32"/>
          <w:szCs w:val="32"/>
        </w:rPr>
        <w:t>报名人员可登录无锡人事考试专栏（</w:t>
      </w:r>
      <w:r>
        <w:rPr>
          <w:rFonts w:ascii="Times New Roman" w:eastAsia="仿宋_GB2312" w:hAnsi="Times New Roman"/>
          <w:sz w:val="32"/>
          <w:szCs w:val="32"/>
        </w:rPr>
        <w:t>http://hrss.wuxi.gov.cn/ztzl/wxrskszl/</w:t>
      </w:r>
      <w:r>
        <w:rPr>
          <w:rFonts w:ascii="Times New Roman" w:eastAsia="仿宋_GB2312" w:hAnsi="Times New Roman"/>
          <w:sz w:val="32"/>
          <w:szCs w:val="32"/>
        </w:rPr>
        <w:t>）进行网上报名。同时在报名截止日期前将</w:t>
      </w:r>
      <w:r>
        <w:rPr>
          <w:rFonts w:ascii="Times New Roman" w:eastAsia="仿宋_GB2312" w:hAnsi="Times New Roman"/>
          <w:sz w:val="32"/>
          <w:szCs w:val="32"/>
        </w:rPr>
        <w:t>报名材料扫描件以电子邮件方式【邮件名：姓名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院校（单位）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专业】发送到电子邮箱：</w:t>
      </w:r>
      <w:r>
        <w:rPr>
          <w:rFonts w:ascii="Times New Roman" w:eastAsia="仿宋_GB2312" w:hAnsi="Times New Roman"/>
          <w:sz w:val="32"/>
          <w:szCs w:val="32"/>
        </w:rPr>
        <w:t>wx321qnrc@163.com</w:t>
      </w:r>
      <w:r>
        <w:rPr>
          <w:rFonts w:ascii="Times New Roman" w:eastAsia="仿宋_GB2312" w:hAnsi="Times New Roman"/>
          <w:sz w:val="32"/>
          <w:szCs w:val="32"/>
        </w:rPr>
        <w:t>。报名时间：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日上午</w:t>
      </w:r>
      <w:r>
        <w:rPr>
          <w:rFonts w:ascii="Times New Roman" w:eastAsia="仿宋_GB2312" w:hAnsi="Times New Roman"/>
          <w:sz w:val="32"/>
          <w:szCs w:val="32"/>
        </w:rPr>
        <w:t>9:00—10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日下午</w:t>
      </w:r>
      <w:r>
        <w:rPr>
          <w:rFonts w:ascii="Times New Roman" w:eastAsia="仿宋_GB2312" w:hAnsi="Times New Roman"/>
          <w:sz w:val="32"/>
          <w:szCs w:val="32"/>
        </w:rPr>
        <w:t>16:00</w:t>
      </w:r>
      <w:r>
        <w:rPr>
          <w:rFonts w:ascii="Times New Roman" w:eastAsia="仿宋_GB2312" w:hAnsi="Times New Roman"/>
          <w:sz w:val="32"/>
          <w:szCs w:val="32"/>
        </w:rPr>
        <w:t>。报名时，考生可填报三个意向性岗位和是否服从调剂（意向性岗位分布表附后），报名结束后，按照有关选调条件对报名人员进行初审。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报名材料包括：（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）本人身份证正反面；（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）大学以来学历学位证书（或就业推荐表、教育部学籍在线验证报告、国外学历学位认证书等证明材料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；（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）担任学生干部的证明；（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）院（系）级以上奖励的证明；（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）专业成绩单及排名、学术成果及其它相关资格证书（件）。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、适岗能力评价。</w:t>
      </w:r>
      <w:r>
        <w:rPr>
          <w:rFonts w:ascii="Times New Roman" w:eastAsia="仿宋_GB2312" w:hAnsi="Times New Roman"/>
          <w:sz w:val="32"/>
          <w:szCs w:val="32"/>
        </w:rPr>
        <w:t>对通过初审的人员，根据提供的报名信息，进行适岗能力评价。根据适岗能力评价情况，按照不低于</w:t>
      </w:r>
      <w:r>
        <w:rPr>
          <w:rFonts w:ascii="Times New Roman" w:eastAsia="仿宋_GB2312" w:hAnsi="Times New Roman"/>
          <w:sz w:val="32"/>
          <w:szCs w:val="32"/>
        </w:rPr>
        <w:t>1:5</w:t>
      </w:r>
      <w:r>
        <w:rPr>
          <w:rFonts w:ascii="Times New Roman" w:eastAsia="仿宋_GB2312" w:hAnsi="Times New Roman"/>
          <w:sz w:val="32"/>
          <w:szCs w:val="32"/>
        </w:rPr>
        <w:t>，不高于</w:t>
      </w:r>
      <w:r>
        <w:rPr>
          <w:rFonts w:ascii="Times New Roman" w:eastAsia="仿宋_GB2312" w:hAnsi="Times New Roman"/>
          <w:sz w:val="32"/>
          <w:szCs w:val="32"/>
        </w:rPr>
        <w:t>1:8</w:t>
      </w:r>
      <w:r>
        <w:rPr>
          <w:rFonts w:ascii="Times New Roman" w:eastAsia="仿宋_GB2312" w:hAnsi="Times New Roman"/>
          <w:sz w:val="32"/>
          <w:szCs w:val="32"/>
        </w:rPr>
        <w:t>的比例，确定进入复审人员名单并在网站公布。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/>
          <w:sz w:val="32"/>
          <w:szCs w:val="32"/>
        </w:rPr>
        <w:t>、资格复审和面谈</w:t>
      </w:r>
      <w:r>
        <w:rPr>
          <w:rFonts w:ascii="Times New Roman" w:eastAsia="仿宋_GB2312" w:hAnsi="Times New Roman"/>
          <w:sz w:val="32"/>
          <w:szCs w:val="32"/>
        </w:rPr>
        <w:t>。对进入复审人员进行面谈，时间和地点另行通知。面谈时进行资格复审，报名人员须提供报名材料原件和无纪律处分证明，未能完整提供的或提供虚假信息的，视为复审不通过。根据面谈分数，按照</w:t>
      </w:r>
      <w:r>
        <w:rPr>
          <w:rFonts w:ascii="Times New Roman" w:eastAsia="仿宋_GB2312" w:hAnsi="Times New Roman"/>
          <w:sz w:val="32"/>
          <w:szCs w:val="32"/>
        </w:rPr>
        <w:t>1:4</w:t>
      </w:r>
      <w:r>
        <w:rPr>
          <w:rFonts w:ascii="Times New Roman" w:eastAsia="仿宋_GB2312" w:hAnsi="Times New Roman"/>
          <w:sz w:val="32"/>
          <w:szCs w:val="32"/>
        </w:rPr>
        <w:t>的比例，从高分到低分确定进入综合能力考评人员名单并在网站公布。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Times New Roman" w:eastAsia="楷体_GB2312" w:hAnsi="Times New Roman"/>
          <w:sz w:val="32"/>
          <w:szCs w:val="32"/>
        </w:rPr>
        <w:t>、综合能力考评。</w:t>
      </w:r>
      <w:r>
        <w:rPr>
          <w:rFonts w:ascii="Times New Roman" w:eastAsia="仿宋_GB2312" w:hAnsi="Times New Roman"/>
          <w:kern w:val="0"/>
          <w:sz w:val="32"/>
          <w:szCs w:val="32"/>
        </w:rPr>
        <w:t>采取一定形式进行综合能力考评，时间和地点另行通知。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>
        <w:rPr>
          <w:rFonts w:ascii="Times New Roman" w:eastAsia="楷体_GB2312" w:hAnsi="Times New Roman"/>
          <w:sz w:val="32"/>
          <w:szCs w:val="32"/>
        </w:rPr>
        <w:t>、确定拟选调人选</w:t>
      </w:r>
      <w:r>
        <w:rPr>
          <w:rFonts w:ascii="Times New Roman" w:eastAsia="仿宋_GB2312" w:hAnsi="Times New Roman"/>
          <w:sz w:val="32"/>
          <w:szCs w:val="32"/>
        </w:rPr>
        <w:t>。根据适岗能力评价、</w:t>
      </w:r>
      <w:r>
        <w:rPr>
          <w:rFonts w:ascii="Times New Roman" w:eastAsia="仿宋_GB2312" w:hAnsi="Times New Roman" w:hint="eastAsia"/>
          <w:sz w:val="32"/>
          <w:szCs w:val="32"/>
        </w:rPr>
        <w:t>资格复审和</w:t>
      </w:r>
      <w:r>
        <w:rPr>
          <w:rFonts w:ascii="Times New Roman" w:eastAsia="仿宋_GB2312" w:hAnsi="Times New Roman"/>
          <w:sz w:val="32"/>
          <w:szCs w:val="32"/>
        </w:rPr>
        <w:t>面谈、综合能力考评结果研究确定拟选调人选并在网站</w:t>
      </w:r>
      <w:r>
        <w:rPr>
          <w:rFonts w:ascii="Times New Roman" w:eastAsia="仿宋_GB2312" w:hAnsi="Times New Roman" w:hint="eastAsia"/>
          <w:sz w:val="32"/>
          <w:szCs w:val="32"/>
        </w:rPr>
        <w:t>公布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6</w:t>
      </w:r>
      <w:r>
        <w:rPr>
          <w:rFonts w:ascii="Times New Roman" w:eastAsia="楷体_GB2312" w:hAnsi="Times New Roman"/>
          <w:kern w:val="0"/>
          <w:sz w:val="32"/>
          <w:szCs w:val="32"/>
        </w:rPr>
        <w:t>、体检考察。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体检按</w:t>
      </w:r>
      <w:proofErr w:type="gramEnd"/>
      <w:r>
        <w:rPr>
          <w:rFonts w:ascii="Times New Roman" w:eastAsia="仿宋_GB2312" w:hAnsi="Times New Roman"/>
          <w:sz w:val="32"/>
          <w:szCs w:val="32"/>
        </w:rPr>
        <w:t>《公务员录用体检通用标准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试行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》执行，并对体检合格的人选进行考察。</w:t>
      </w:r>
    </w:p>
    <w:p w:rsidR="00C01318" w:rsidRDefault="001E15AC">
      <w:pPr>
        <w:widowControl/>
        <w:spacing w:line="540" w:lineRule="exact"/>
        <w:ind w:firstLine="645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7</w:t>
      </w:r>
      <w:r>
        <w:rPr>
          <w:rFonts w:ascii="Times New Roman" w:eastAsia="楷体_GB2312" w:hAnsi="Times New Roman"/>
          <w:kern w:val="0"/>
          <w:sz w:val="32"/>
          <w:szCs w:val="32"/>
        </w:rPr>
        <w:t>、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公示</w:t>
      </w:r>
      <w:r>
        <w:rPr>
          <w:rFonts w:ascii="Times New Roman" w:eastAsia="楷体_GB2312" w:hAnsi="Times New Roman"/>
          <w:kern w:val="0"/>
          <w:sz w:val="32"/>
          <w:szCs w:val="32"/>
        </w:rPr>
        <w:t>录用。</w:t>
      </w:r>
      <w:r>
        <w:rPr>
          <w:rFonts w:ascii="Times New Roman" w:eastAsia="仿宋_GB2312" w:hAnsi="Times New Roman" w:hint="eastAsia"/>
          <w:sz w:val="32"/>
          <w:szCs w:val="32"/>
        </w:rPr>
        <w:t>对通过体检和考察的拟选调人选进行公示，时间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个工作日。经公示无异议后，</w:t>
      </w:r>
      <w:r>
        <w:rPr>
          <w:rFonts w:ascii="Times New Roman" w:eastAsia="仿宋_GB2312" w:hAnsi="Times New Roman"/>
          <w:sz w:val="32"/>
          <w:szCs w:val="32"/>
        </w:rPr>
        <w:t>按规定办理录用手续。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四、培养管理</w:t>
      </w:r>
    </w:p>
    <w:p w:rsidR="00C01318" w:rsidRDefault="001E15A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选调人员由无锡市委组织部和各市（县）区委组织部根据填报的意向性岗位和个人特长特点，分配到具体事业单位、国有企业、乡镇（街道）及开发园区。由用人单位与之签订聘用合同或劳动合同，录用到事业单位的实行一年试用期，录用到企业的第一次签订一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期劳动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合同。一年期满后，由市、县两级组织部门会同用人单位分别组织考核。对考核不合格或不服从组织安排、违反管理规定的人员，解除聘用合同，或不再续订劳动合同。</w:t>
      </w:r>
    </w:p>
    <w:p w:rsidR="00C01318" w:rsidRDefault="001E15AC">
      <w:pPr>
        <w:widowControl/>
        <w:spacing w:line="54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、选调人员符合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太湖人才计划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优秀大学生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锡引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工程政策的，可享受相应补贴。</w:t>
      </w:r>
    </w:p>
    <w:p w:rsidR="00C01318" w:rsidRDefault="001E15AC">
      <w:pPr>
        <w:widowControl/>
        <w:spacing w:line="54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、为选调人员免费提供为期一年的住宿，无</w:t>
      </w:r>
      <w:r>
        <w:rPr>
          <w:rFonts w:ascii="Times New Roman" w:eastAsia="仿宋_GB2312" w:hAnsi="Times New Roman"/>
          <w:sz w:val="32"/>
          <w:szCs w:val="32"/>
        </w:rPr>
        <w:t>锡市内（含江阴、宜兴）有固定住所的除外。</w:t>
      </w:r>
    </w:p>
    <w:p w:rsidR="00C01318" w:rsidRDefault="001E15AC">
      <w:pPr>
        <w:widowControl/>
        <w:spacing w:line="54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、选调人员由市、市（县）区委组织部参照省委组织部选调生进行跟踪培养管理。纳入优秀青年人才库，对其培养、管理和使用等情况进行跟踪，表现优秀并符合任用条件的，可优先提拔。</w:t>
      </w:r>
    </w:p>
    <w:p w:rsidR="00C01318" w:rsidRDefault="001E15AC">
      <w:pPr>
        <w:widowControl/>
        <w:spacing w:line="540" w:lineRule="exact"/>
        <w:ind w:firstLineChars="200" w:firstLine="640"/>
        <w:jc w:val="left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五、纪律监督</w:t>
      </w:r>
    </w:p>
    <w:p w:rsidR="00C01318" w:rsidRDefault="001E15AC">
      <w:pPr>
        <w:widowControl/>
        <w:spacing w:line="54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选调工作坚持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公开、平等、竞争、择优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的原则，严格程序和标准，主动接受纪检监察机关和社会监督。信息发布网址：</w:t>
      </w:r>
      <w:r>
        <w:rPr>
          <w:rFonts w:ascii="Times New Roman" w:eastAsia="仿宋_GB2312" w:hAnsi="Times New Roman"/>
          <w:sz w:val="32"/>
          <w:szCs w:val="32"/>
        </w:rPr>
        <w:t>http://zzb.wuxi.gov.cn</w:t>
      </w:r>
      <w:r>
        <w:rPr>
          <w:rFonts w:ascii="Times New Roman" w:eastAsia="仿宋_GB2312" w:hAnsi="Times New Roman"/>
          <w:sz w:val="32"/>
          <w:szCs w:val="32"/>
        </w:rPr>
        <w:t>（无锡市委组织部网站）、</w:t>
      </w:r>
      <w:r>
        <w:rPr>
          <w:rFonts w:ascii="Times New Roman" w:eastAsia="仿宋_GB2312" w:hAnsi="Times New Roman"/>
          <w:sz w:val="32"/>
          <w:szCs w:val="32"/>
        </w:rPr>
        <w:t>http://hrss.wuxi.gov.cn</w:t>
      </w:r>
      <w:r>
        <w:rPr>
          <w:rFonts w:ascii="Times New Roman" w:eastAsia="仿宋_GB2312" w:hAnsi="Times New Roman"/>
          <w:sz w:val="32"/>
          <w:szCs w:val="32"/>
        </w:rPr>
        <w:t>（无锡市人力资源和社会保障局网站）</w:t>
      </w:r>
      <w:r>
        <w:rPr>
          <w:rFonts w:ascii="Times New Roman" w:eastAsia="仿宋_GB2312" w:hAnsi="Times New Roman"/>
          <w:sz w:val="32"/>
          <w:szCs w:val="32"/>
        </w:rPr>
        <w:t>。政策咨询电话：</w:t>
      </w:r>
      <w:r>
        <w:rPr>
          <w:rFonts w:ascii="Times New Roman" w:eastAsia="仿宋_GB2312" w:hAnsi="Times New Roman"/>
          <w:sz w:val="32"/>
          <w:szCs w:val="32"/>
        </w:rPr>
        <w:t>0510-</w:t>
      </w:r>
      <w:r>
        <w:rPr>
          <w:rFonts w:ascii="Times New Roman" w:eastAsia="仿宋_GB2312" w:hAnsi="Times New Roman"/>
          <w:sz w:val="32"/>
          <w:szCs w:val="32"/>
        </w:rPr>
        <w:t>81827491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0510-81827490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0510-81820889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(00)86-510-81827489</w:t>
      </w:r>
      <w:r>
        <w:rPr>
          <w:rFonts w:ascii="Times New Roman" w:eastAsia="仿宋_GB2312" w:hAnsi="Times New Roman"/>
          <w:sz w:val="32"/>
          <w:szCs w:val="32"/>
        </w:rPr>
        <w:t>（海外咨询电话）。</w:t>
      </w:r>
      <w:r>
        <w:rPr>
          <w:rFonts w:ascii="Times New Roman" w:eastAsia="仿宋_GB2312" w:hAnsi="Times New Roman"/>
          <w:sz w:val="32"/>
          <w:szCs w:val="32"/>
        </w:rPr>
        <w:t>监督电话：</w:t>
      </w:r>
      <w:r>
        <w:rPr>
          <w:rFonts w:ascii="Times New Roman" w:eastAsia="仿宋_GB2312" w:hAnsi="Times New Roman"/>
          <w:sz w:val="32"/>
          <w:szCs w:val="32"/>
        </w:rPr>
        <w:t>0510-</w:t>
      </w:r>
      <w:r>
        <w:rPr>
          <w:rFonts w:ascii="Times New Roman" w:eastAsia="仿宋_GB2312" w:hAnsi="Times New Roman"/>
          <w:sz w:val="32"/>
          <w:szCs w:val="32"/>
        </w:rPr>
        <w:t>12388</w:t>
      </w:r>
      <w:r>
        <w:rPr>
          <w:rFonts w:ascii="Times New Roman" w:eastAsia="仿宋_GB2312" w:hAnsi="Times New Roman"/>
          <w:sz w:val="32"/>
          <w:szCs w:val="32"/>
        </w:rPr>
        <w:t>（无锡市纪委监委）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01318" w:rsidRDefault="001E15AC">
      <w:pPr>
        <w:widowControl/>
        <w:spacing w:line="540" w:lineRule="exact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 xml:space="preserve">　　六、本</w:t>
      </w:r>
      <w:r>
        <w:rPr>
          <w:rFonts w:ascii="Times New Roman" w:eastAsia="黑体" w:hAnsi="Times New Roman"/>
          <w:kern w:val="0"/>
          <w:sz w:val="32"/>
          <w:szCs w:val="32"/>
        </w:rPr>
        <w:t>公告</w:t>
      </w:r>
      <w:r>
        <w:rPr>
          <w:rFonts w:ascii="Times New Roman" w:eastAsia="黑体" w:hAnsi="Times New Roman"/>
          <w:kern w:val="0"/>
          <w:sz w:val="32"/>
          <w:szCs w:val="32"/>
        </w:rPr>
        <w:t>由中共</w:t>
      </w:r>
      <w:r>
        <w:rPr>
          <w:rFonts w:ascii="Times New Roman" w:eastAsia="黑体" w:hAnsi="Times New Roman"/>
          <w:kern w:val="0"/>
          <w:sz w:val="32"/>
          <w:szCs w:val="32"/>
        </w:rPr>
        <w:t>无锡</w:t>
      </w:r>
      <w:r>
        <w:rPr>
          <w:rFonts w:ascii="Times New Roman" w:eastAsia="黑体" w:hAnsi="Times New Roman"/>
          <w:kern w:val="0"/>
          <w:sz w:val="32"/>
          <w:szCs w:val="32"/>
        </w:rPr>
        <w:t>市委组织部、</w:t>
      </w:r>
      <w:r>
        <w:rPr>
          <w:rFonts w:ascii="Times New Roman" w:eastAsia="黑体" w:hAnsi="Times New Roman"/>
          <w:kern w:val="0"/>
          <w:sz w:val="32"/>
          <w:szCs w:val="32"/>
        </w:rPr>
        <w:t>无锡</w:t>
      </w:r>
      <w:r>
        <w:rPr>
          <w:rFonts w:ascii="Times New Roman" w:eastAsia="黑体" w:hAnsi="Times New Roman"/>
          <w:kern w:val="0"/>
          <w:sz w:val="32"/>
          <w:szCs w:val="32"/>
        </w:rPr>
        <w:t>市人力资源和社会保障局负责解释。</w:t>
      </w:r>
    </w:p>
    <w:p w:rsidR="00C01318" w:rsidRDefault="00C01318">
      <w:pPr>
        <w:widowControl/>
        <w:spacing w:line="54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</w:p>
    <w:p w:rsidR="00C01318" w:rsidRDefault="001E15AC">
      <w:pPr>
        <w:widowControl/>
        <w:tabs>
          <w:tab w:val="left" w:pos="4620"/>
        </w:tabs>
        <w:spacing w:line="540" w:lineRule="exact"/>
        <w:jc w:val="righ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共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锡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市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组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织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部</w:t>
      </w:r>
    </w:p>
    <w:p w:rsidR="00C01318" w:rsidRDefault="001E15AC">
      <w:pPr>
        <w:widowControl/>
        <w:spacing w:line="540" w:lineRule="exact"/>
        <w:jc w:val="righ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无锡</w:t>
      </w:r>
      <w:r>
        <w:rPr>
          <w:rFonts w:ascii="Times New Roman" w:eastAsia="仿宋_GB2312" w:hAnsi="Times New Roman"/>
          <w:kern w:val="0"/>
          <w:sz w:val="32"/>
          <w:szCs w:val="32"/>
        </w:rPr>
        <w:t>市人力资源和社会保障局</w:t>
      </w:r>
    </w:p>
    <w:p w:rsidR="00C01318" w:rsidRDefault="001E15A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　　　　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                                               </w:t>
      </w:r>
      <w:r>
        <w:rPr>
          <w:rFonts w:ascii="Times New Roman" w:eastAsia="仿宋_GB2312" w:hAnsi="Times New Roman"/>
          <w:kern w:val="0"/>
          <w:sz w:val="32"/>
          <w:szCs w:val="32"/>
        </w:rPr>
        <w:t>2019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01318" w:rsidRDefault="00C01318">
      <w:pPr>
        <w:rPr>
          <w:rFonts w:ascii="Times New Roman" w:eastAsia="仿宋_GB2312" w:hAnsi="Times New Roman"/>
          <w:sz w:val="32"/>
          <w:szCs w:val="32"/>
        </w:rPr>
      </w:pPr>
    </w:p>
    <w:p w:rsidR="00C01318" w:rsidRDefault="00C01318">
      <w:pPr>
        <w:rPr>
          <w:rFonts w:ascii="Times New Roman" w:eastAsia="仿宋_GB2312" w:hAnsi="Times New Roman"/>
          <w:sz w:val="32"/>
          <w:szCs w:val="32"/>
        </w:rPr>
      </w:pPr>
    </w:p>
    <w:p w:rsidR="00C01318" w:rsidRDefault="00C01318">
      <w:pPr>
        <w:rPr>
          <w:rFonts w:ascii="Times New Roman" w:eastAsia="仿宋_GB2312" w:hAnsi="Times New Roman"/>
          <w:sz w:val="32"/>
          <w:szCs w:val="32"/>
        </w:rPr>
      </w:pPr>
    </w:p>
    <w:p w:rsidR="00C01318" w:rsidRDefault="00C01318">
      <w:pPr>
        <w:rPr>
          <w:rFonts w:ascii="Times New Roman" w:eastAsia="仿宋_GB2312" w:hAnsi="Times New Roman"/>
          <w:sz w:val="32"/>
          <w:szCs w:val="32"/>
        </w:rPr>
      </w:pPr>
    </w:p>
    <w:p w:rsidR="00C01318" w:rsidRDefault="00C01318">
      <w:pPr>
        <w:rPr>
          <w:rFonts w:ascii="Times New Roman" w:eastAsia="仿宋_GB2312" w:hAnsi="Times New Roman"/>
          <w:sz w:val="32"/>
          <w:szCs w:val="32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C01318">
      <w:pPr>
        <w:pStyle w:val="1"/>
        <w:overflowPunct w:val="0"/>
        <w:snapToGrid w:val="0"/>
        <w:spacing w:beforeLines="50" w:before="156" w:afterLines="50" w:after="156" w:line="400" w:lineRule="exact"/>
        <w:rPr>
          <w:rFonts w:ascii="Times New Roman" w:hAnsi="Times New Roman"/>
        </w:rPr>
      </w:pPr>
    </w:p>
    <w:p w:rsidR="00C01318" w:rsidRDefault="001E15AC">
      <w:pPr>
        <w:pStyle w:val="1"/>
        <w:overflowPunct w:val="0"/>
        <w:snapToGrid w:val="0"/>
        <w:spacing w:beforeLines="50" w:before="156" w:afterLines="50" w:after="156" w:line="240" w:lineRule="auto"/>
        <w:ind w:firstLineChars="100" w:firstLine="44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年无锡市公开选调优秀青年人才</w:t>
      </w:r>
    </w:p>
    <w:p w:rsidR="00C01318" w:rsidRDefault="001E15AC">
      <w:pPr>
        <w:pStyle w:val="1"/>
        <w:overflowPunct w:val="0"/>
        <w:snapToGrid w:val="0"/>
        <w:spacing w:beforeLines="50" w:before="156" w:afterLines="50" w:after="156"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意向性岗位</w:t>
      </w:r>
      <w:r>
        <w:rPr>
          <w:rFonts w:ascii="Times New Roman" w:hAnsi="Times New Roman" w:hint="eastAsia"/>
        </w:rPr>
        <w:t>分布</w:t>
      </w:r>
      <w:r>
        <w:rPr>
          <w:rFonts w:ascii="Times New Roman" w:hAnsi="Times New Roman" w:hint="eastAsia"/>
        </w:rPr>
        <w:t>表</w:t>
      </w:r>
    </w:p>
    <w:tbl>
      <w:tblPr>
        <w:tblpPr w:leftFromText="180" w:rightFromText="180" w:vertAnchor="text" w:horzAnchor="page" w:tblpX="2076" w:tblpY="3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896"/>
        <w:gridCol w:w="4340"/>
        <w:gridCol w:w="875"/>
      </w:tblGrid>
      <w:tr w:rsidR="00C01318">
        <w:trPr>
          <w:trHeight w:val="454"/>
        </w:trPr>
        <w:tc>
          <w:tcPr>
            <w:tcW w:w="950" w:type="dxa"/>
            <w:vMerge w:val="restart"/>
            <w:vAlign w:val="center"/>
          </w:tcPr>
          <w:p w:rsidR="00C01318" w:rsidRDefault="001E15A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  <w:gridSpan w:val="3"/>
            <w:vAlign w:val="center"/>
          </w:tcPr>
          <w:p w:rsidR="00C01318" w:rsidRDefault="001E15A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8"/>
                <w:szCs w:val="28"/>
              </w:rPr>
              <w:t>意向性岗位</w:t>
            </w:r>
          </w:p>
        </w:tc>
      </w:tr>
      <w:tr w:rsidR="00C01318">
        <w:trPr>
          <w:trHeight w:val="454"/>
        </w:trPr>
        <w:tc>
          <w:tcPr>
            <w:tcW w:w="950" w:type="dxa"/>
            <w:vMerge/>
            <w:vAlign w:val="center"/>
          </w:tcPr>
          <w:p w:rsidR="00C01318" w:rsidRDefault="00C01318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C01318" w:rsidRDefault="001E15A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75" w:type="dxa"/>
            <w:vAlign w:val="center"/>
          </w:tcPr>
          <w:p w:rsidR="00C01318" w:rsidRDefault="001E15A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8"/>
                <w:szCs w:val="28"/>
              </w:rPr>
              <w:t>数量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无锡市本级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江阴市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乡镇（街道）及开发园区事业单位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宜兴市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梁溪区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锡山区</w:t>
            </w:r>
            <w:proofErr w:type="gramEnd"/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乡镇（街道）及开发园区事业单位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惠山区</w:t>
            </w:r>
            <w:proofErr w:type="gramEnd"/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乡镇（街道）及开发园区事业单位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滨湖区</w:t>
            </w:r>
            <w:proofErr w:type="gramEnd"/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市（县）区国有企业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乡镇（街道）及开发园区事业单位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896" w:type="dxa"/>
            <w:vMerge w:val="restart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新吴区</w:t>
            </w:r>
            <w:proofErr w:type="gramEnd"/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25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96" w:type="dxa"/>
            <w:vMerge/>
            <w:vAlign w:val="center"/>
          </w:tcPr>
          <w:p w:rsidR="00C01318" w:rsidRDefault="00C0131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乡镇（街道）及开发园区事业单位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01318">
        <w:trPr>
          <w:trHeight w:val="454"/>
        </w:trPr>
        <w:tc>
          <w:tcPr>
            <w:tcW w:w="95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4340" w:type="dxa"/>
            <w:vAlign w:val="center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市（县）区事业单位</w:t>
            </w:r>
          </w:p>
        </w:tc>
        <w:tc>
          <w:tcPr>
            <w:tcW w:w="875" w:type="dxa"/>
          </w:tcPr>
          <w:p w:rsidR="00C01318" w:rsidRDefault="001E15A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C01318" w:rsidRDefault="00C01318">
      <w:pPr>
        <w:rPr>
          <w:rFonts w:ascii="Times" w:eastAsia="方正仿宋_GBK" w:hAnsi="Times"/>
          <w:sz w:val="34"/>
        </w:rPr>
      </w:pPr>
    </w:p>
    <w:p w:rsidR="00C01318" w:rsidRDefault="00C01318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sectPr w:rsidR="00C0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E32C0"/>
    <w:rsid w:val="001E15AC"/>
    <w:rsid w:val="00C01318"/>
    <w:rsid w:val="1E4E32C0"/>
    <w:rsid w:val="46E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9681D2-9C10-430A-A296-A7663114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xiaofang qi</cp:lastModifiedBy>
  <cp:revision>2</cp:revision>
  <dcterms:created xsi:type="dcterms:W3CDTF">2019-10-21T07:17:00Z</dcterms:created>
  <dcterms:modified xsi:type="dcterms:W3CDTF">2019-10-24T01:45:00Z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